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DD" w:rsidRDefault="00783BDD" w:rsidP="00783BD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05 февраля 2019г. № 21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05 февраля  2019г.    № 21</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«Предварительное согласование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«Предварительное согласование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Щигровского района Курской области от 24.07.2018 года №54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считать утратившими силу.</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Ефремову З.Н.</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05.02.19г. № 21</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Администрацией  Большезмеинского сельсовета Щигровского района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Курской области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«Предварительное согласование предоставления земельного участка»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регламента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предоставления  Администрацией Большезмеинского сельсовета Щигровского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xml:space="preserve"> Федерального закона «О порядке </w:t>
      </w:r>
      <w:r>
        <w:rPr>
          <w:rFonts w:ascii="Tahoma" w:hAnsi="Tahoma" w:cs="Tahoma"/>
          <w:color w:val="000000"/>
          <w:sz w:val="18"/>
          <w:szCs w:val="18"/>
        </w:rPr>
        <w:lastRenderedPageBreak/>
        <w:t>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 (об)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b"/>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6" w:history="1">
        <w:r>
          <w:rPr>
            <w:rStyle w:val="a7"/>
            <w:rFonts w:ascii="Tahoma" w:hAnsi="Tahoma" w:cs="Tahoma"/>
            <w:color w:val="33A6E3"/>
            <w:sz w:val="18"/>
            <w:szCs w:val="18"/>
          </w:rPr>
          <w:t>www.bolzmey.rkursk.ru</w:t>
        </w:r>
      </w:hyperlink>
      <w:r>
        <w:rPr>
          <w:rFonts w:ascii="Tahoma" w:hAnsi="Tahoma" w:cs="Tahoma"/>
          <w:color w:val="000000"/>
          <w:sz w:val="18"/>
          <w:szCs w:val="18"/>
        </w:rPr>
        <w:t> и  на Едином портале </w:t>
      </w:r>
      <w:hyperlink r:id="rId7" w:history="1">
        <w:r>
          <w:rPr>
            <w:rStyle w:val="a7"/>
            <w:rFonts w:ascii="Tahoma" w:hAnsi="Tahoma" w:cs="Tahoma"/>
            <w:color w:val="33A6E3"/>
            <w:sz w:val="18"/>
            <w:szCs w:val="18"/>
          </w:rPr>
          <w:t>https://www.gosuslugi.ru.»</w:t>
        </w:r>
      </w:hyperlink>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Предварительное согласование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по Курской области;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предварительном согласовании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предварительном согласовании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w:t>
      </w:r>
      <w:r>
        <w:rPr>
          <w:rFonts w:ascii="Tahoma" w:hAnsi="Tahoma" w:cs="Tahoma"/>
          <w:color w:val="000000"/>
          <w:sz w:val="18"/>
          <w:szCs w:val="18"/>
        </w:rPr>
        <w:t>,</w:t>
      </w:r>
      <w:r>
        <w:rPr>
          <w:rStyle w:val="ab"/>
          <w:rFonts w:ascii="Tahoma" w:hAnsi="Tahoma" w:cs="Tahoma"/>
          <w:color w:val="000000"/>
          <w:sz w:val="18"/>
          <w:szCs w:val="18"/>
        </w:rPr>
        <w:t> </w:t>
      </w:r>
      <w:r>
        <w:rPr>
          <w:rFonts w:ascii="Tahoma" w:hAnsi="Tahoma" w:cs="Tahoma"/>
          <w:color w:val="000000"/>
          <w:sz w:val="18"/>
          <w:szCs w:val="18"/>
        </w:rPr>
        <w:t> </w:t>
      </w:r>
      <w:r>
        <w:rPr>
          <w:rStyle w:val="ab"/>
          <w:rFonts w:ascii="Tahoma" w:hAnsi="Tahoma" w:cs="Tahoma"/>
          <w:color w:val="000000"/>
          <w:sz w:val="18"/>
          <w:szCs w:val="1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а также  на  Едином портале.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Исчерпывающий перечень документов, необходимых для предоставления муниципальной услуги, подлежащих представлению заявителем: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о предоставлении муниципальной услуги, оформленное по образцу согласно    Приложению № 1 к настоящему Административному регламенту.</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9" w:history="1">
        <w:r>
          <w:rPr>
            <w:rStyle w:val="a7"/>
            <w:rFonts w:ascii="Tahoma" w:hAnsi="Tahoma" w:cs="Tahoma"/>
            <w:color w:val="33A6E3"/>
            <w:sz w:val="18"/>
            <w:szCs w:val="18"/>
          </w:rPr>
          <w:t>перечнем</w:t>
        </w:r>
      </w:hyperlink>
      <w:r>
        <w:rPr>
          <w:rFonts w:ascii="Tahoma" w:hAnsi="Tahoma" w:cs="Tahoma"/>
          <w:color w:val="000000"/>
          <w:sz w:val="18"/>
          <w:szCs w:val="18"/>
        </w:rPr>
        <w:t>, установленным Приказом Минэкономразвития от 12.01.2015 г. №1;</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проектная документация лесных участков в случае, если подано заявление о предварительном согласовании предоставления лесного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Заявление предоставляется: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электронной форме,  путем заполнения формы запроса, размещенной в личном кабинете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выписка из Единого государственного реестра юридических лиц (для юридических лиц);</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выписка из Единого государственного реестра индивидуальных предпринимателей (для индивидуальных предпринимателей);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выписка из Единого государственного реестра недвижимости   на земельный участок;</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выписка из Единого государственного реестра недвижимости на здания, сооружения (при наличии на земельном участке зданий, сооружений);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заявителю в предоставлении государственной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 Указание на запрет требовать от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Pr>
            <w:rStyle w:val="a7"/>
            <w:rFonts w:ascii="Tahoma" w:hAnsi="Tahoma" w:cs="Tahoma"/>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приеме заявления и документов посредством Регионального портала запрещается: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предоставления документов, подтверждающих внесения заявителем платы  за предоставление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w:t>
      </w:r>
      <w:r>
        <w:rPr>
          <w:rFonts w:ascii="Tahoma" w:hAnsi="Tahoma" w:cs="Tahoma"/>
          <w:color w:val="000000"/>
          <w:sz w:val="18"/>
          <w:szCs w:val="18"/>
        </w:rPr>
        <w:t> </w:t>
      </w:r>
      <w:r>
        <w:rPr>
          <w:rStyle w:val="ab"/>
          <w:rFonts w:ascii="Tahoma" w:hAnsi="Tahoma" w:cs="Tahoma"/>
          <w:color w:val="000000"/>
          <w:sz w:val="18"/>
          <w:szCs w:val="18"/>
        </w:rPr>
        <w:t>Исчерпывающий перечень оснований для отказа в приеме документов необходимых для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муниципальной услуги или отказа в предоставлении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2.10.2. Основаниями для отказа в предоставлении муниципальной услуги являются: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разработка схемы расположения земельного участка с нарушением предусмотренных </w:t>
      </w:r>
      <w:hyperlink r:id="rId11" w:history="1">
        <w:r>
          <w:rPr>
            <w:rStyle w:val="a7"/>
            <w:rFonts w:ascii="Tahoma" w:hAnsi="Tahoma" w:cs="Tahoma"/>
            <w:color w:val="33A6E3"/>
            <w:sz w:val="18"/>
            <w:szCs w:val="18"/>
          </w:rPr>
          <w:t>статьей 11.9</w:t>
        </w:r>
      </w:hyperlink>
      <w:r>
        <w:rPr>
          <w:rFonts w:ascii="Tahoma" w:hAnsi="Tahoma" w:cs="Tahoma"/>
          <w:color w:val="000000"/>
          <w:sz w:val="18"/>
          <w:szCs w:val="18"/>
        </w:rPr>
        <w:t> Земельного кодекса  Российской Федерации требований к образуемым земельным участкам;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numPr>
          <w:ilvl w:val="0"/>
          <w:numId w:val="2"/>
        </w:numPr>
        <w:shd w:val="clear" w:color="auto" w:fill="EEEEEE"/>
        <w:ind w:left="0"/>
        <w:rPr>
          <w:rFonts w:ascii="Tahoma" w:hAnsi="Tahoma" w:cs="Tahoma"/>
          <w:color w:val="000000"/>
          <w:sz w:val="18"/>
          <w:szCs w:val="18"/>
        </w:rPr>
      </w:pPr>
      <w:r>
        <w:rPr>
          <w:rStyle w:val="ab"/>
          <w:rFonts w:ascii="Tahoma" w:hAnsi="Tahoma" w:cs="Tahoma"/>
          <w:color w:val="000000"/>
          <w:sz w:val="18"/>
          <w:szCs w:val="18"/>
        </w:rPr>
        <w:t>2.                       Земельный участок, который предстоит образовать, не может быть предоставлен заявителю по следующим основаниям: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w:t>
      </w:r>
      <w:r>
        <w:rPr>
          <w:rFonts w:ascii="Tahoma" w:hAnsi="Tahoma" w:cs="Tahoma"/>
          <w:color w:val="000000"/>
          <w:sz w:val="18"/>
          <w:szCs w:val="18"/>
        </w:rPr>
        <w:lastRenderedPageBreak/>
        <w:t>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предоставление земельного участка на заявленном виде прав не допускается;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Pr>
            <w:rStyle w:val="a7"/>
            <w:rFonts w:ascii="Tahoma" w:hAnsi="Tahoma" w:cs="Tahoma"/>
            <w:color w:val="33A6E3"/>
            <w:sz w:val="18"/>
            <w:szCs w:val="18"/>
          </w:rPr>
          <w:t>подпунктом 10 пункта 2 статьи 39.10</w:t>
        </w:r>
      </w:hyperlink>
      <w:r>
        <w:rPr>
          <w:rFonts w:ascii="Tahoma" w:hAnsi="Tahoma" w:cs="Tahoma"/>
          <w:color w:val="000000"/>
          <w:sz w:val="18"/>
          <w:szCs w:val="18"/>
        </w:rPr>
        <w:t> Земельного кодекса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Pr>
            <w:rStyle w:val="a7"/>
            <w:rFonts w:ascii="Tahoma" w:hAnsi="Tahoma" w:cs="Tahoma"/>
            <w:color w:val="33A6E3"/>
            <w:sz w:val="18"/>
            <w:szCs w:val="18"/>
          </w:rPr>
          <w:t>пунктом 3 статьи 39.36</w:t>
        </w:r>
      </w:hyperlink>
      <w:r>
        <w:rPr>
          <w:rFonts w:ascii="Tahoma" w:hAnsi="Tahoma" w:cs="Tahoma"/>
          <w:color w:val="000000"/>
          <w:sz w:val="18"/>
          <w:szCs w:val="18"/>
        </w:rPr>
        <w:t>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Pr>
            <w:rStyle w:val="a7"/>
            <w:rFonts w:ascii="Tahoma" w:hAnsi="Tahoma" w:cs="Tahoma"/>
            <w:color w:val="33A6E3"/>
            <w:sz w:val="18"/>
            <w:szCs w:val="18"/>
          </w:rPr>
          <w:t>пунктом 19 статьи 39.11</w:t>
        </w:r>
      </w:hyperlink>
      <w:r>
        <w:rPr>
          <w:rFonts w:ascii="Tahoma" w:hAnsi="Tahoma" w:cs="Tahoma"/>
          <w:color w:val="000000"/>
          <w:sz w:val="18"/>
          <w:szCs w:val="18"/>
        </w:rPr>
        <w:t> земельного кодекса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отношении земельного участка, указанного в заявлении о его предоставлении, поступило предусмотренное </w:t>
      </w:r>
      <w:hyperlink r:id="rId15" w:history="1">
        <w:r>
          <w:rPr>
            <w:rStyle w:val="a7"/>
            <w:rFonts w:ascii="Tahoma" w:hAnsi="Tahoma" w:cs="Tahoma"/>
            <w:color w:val="33A6E3"/>
            <w:sz w:val="18"/>
            <w:szCs w:val="18"/>
          </w:rPr>
          <w:t>подпунктом 6 пункта 4 статьи 39.11</w:t>
        </w:r>
      </w:hyperlink>
      <w:r>
        <w:rPr>
          <w:rFonts w:ascii="Tahoma" w:hAnsi="Tahoma" w:cs="Tahoma"/>
          <w:color w:val="000000"/>
          <w:sz w:val="18"/>
          <w:szCs w:val="1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Pr>
            <w:rStyle w:val="a7"/>
            <w:rFonts w:ascii="Tahoma" w:hAnsi="Tahoma" w:cs="Tahoma"/>
            <w:color w:val="33A6E3"/>
            <w:sz w:val="18"/>
            <w:szCs w:val="18"/>
          </w:rPr>
          <w:t>подпунктом 4 пункта 4 статьи 39.11</w:t>
        </w:r>
      </w:hyperlink>
      <w:r>
        <w:rPr>
          <w:rFonts w:ascii="Tahoma" w:hAnsi="Tahoma" w:cs="Tahoma"/>
          <w:color w:val="000000"/>
          <w:sz w:val="18"/>
          <w:szCs w:val="18"/>
        </w:rPr>
        <w:t xml:space="preserve"> земельного кодекса Российской Федерации и уполномоченным органом не принято решение об </w:t>
      </w:r>
      <w:r>
        <w:rPr>
          <w:rFonts w:ascii="Tahoma" w:hAnsi="Tahoma" w:cs="Tahoma"/>
          <w:color w:val="000000"/>
          <w:sz w:val="18"/>
          <w:szCs w:val="18"/>
        </w:rPr>
        <w:lastRenderedPageBreak/>
        <w:t>отказе в проведении этого аукциона по основаниям, предусмотренным </w:t>
      </w:r>
      <w:hyperlink r:id="rId17" w:history="1">
        <w:r>
          <w:rPr>
            <w:rStyle w:val="a7"/>
            <w:rFonts w:ascii="Tahoma" w:hAnsi="Tahoma" w:cs="Tahoma"/>
            <w:color w:val="33A6E3"/>
            <w:sz w:val="18"/>
            <w:szCs w:val="18"/>
          </w:rPr>
          <w:t>пунктом 8 статьи 39.11</w:t>
        </w:r>
      </w:hyperlink>
      <w:r>
        <w:rPr>
          <w:rFonts w:ascii="Tahoma" w:hAnsi="Tahoma" w:cs="Tahoma"/>
          <w:color w:val="000000"/>
          <w:sz w:val="18"/>
          <w:szCs w:val="18"/>
        </w:rPr>
        <w:t> настоящего Кодекса;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отношении земельного участка, указанного в заявлении о его предоставлении, опубликовано и размещено в соответствии с </w:t>
      </w:r>
      <w:hyperlink r:id="rId18" w:history="1">
        <w:r>
          <w:rPr>
            <w:rStyle w:val="a7"/>
            <w:rFonts w:ascii="Tahoma" w:hAnsi="Tahoma" w:cs="Tahoma"/>
            <w:color w:val="33A6E3"/>
            <w:sz w:val="18"/>
            <w:szCs w:val="18"/>
          </w:rPr>
          <w:t>подпунктом 1 пункта 1 статьи 39.18</w:t>
        </w:r>
      </w:hyperlink>
      <w:r>
        <w:rPr>
          <w:rFonts w:ascii="Tahoma" w:hAnsi="Tahoma" w:cs="Tahoma"/>
          <w:color w:val="000000"/>
          <w:sz w:val="18"/>
          <w:szCs w:val="1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испрашиваемый земельный участок не включен в утвержденный в установленном Правительством Российской Федерации </w:t>
      </w:r>
      <w:hyperlink r:id="rId19" w:history="1">
        <w:r>
          <w:rPr>
            <w:rStyle w:val="a7"/>
            <w:rFonts w:ascii="Tahoma" w:hAnsi="Tahoma" w:cs="Tahoma"/>
            <w:color w:val="33A6E3"/>
            <w:sz w:val="18"/>
            <w:szCs w:val="18"/>
          </w:rPr>
          <w:t>порядке</w:t>
        </w:r>
      </w:hyperlink>
      <w:r>
        <w:rPr>
          <w:rFonts w:ascii="Tahoma" w:hAnsi="Tahoma" w:cs="Tahoma"/>
          <w:color w:val="000000"/>
          <w:sz w:val="18"/>
          <w:szCs w:val="1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Pr>
            <w:rStyle w:val="a7"/>
            <w:rFonts w:ascii="Tahoma" w:hAnsi="Tahoma" w:cs="Tahoma"/>
            <w:color w:val="33A6E3"/>
            <w:sz w:val="18"/>
            <w:szCs w:val="18"/>
          </w:rPr>
          <w:t>подпунктом 10 пункта 2 статьи 39.10</w:t>
        </w:r>
      </w:hyperlink>
      <w:r>
        <w:rPr>
          <w:rFonts w:ascii="Tahoma" w:hAnsi="Tahoma" w:cs="Tahoma"/>
          <w:color w:val="000000"/>
          <w:sz w:val="18"/>
          <w:szCs w:val="18"/>
        </w:rPr>
        <w:t> земельного кодекса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предоставление земельного участка на заявленном виде прав не допускается;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отношении земельного участка, указанного в заявлении о его предоставлении, не установлен вид разрешенного использования;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указанный в заявлении о предоставлении земельного участка земельный участок не отнесен к определенной категории земель;</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границы земельного участка, указанного в заявлении о его предоставлении, подлежат уточнению в соответствии с Федеральным </w:t>
      </w:r>
      <w:hyperlink r:id="rId21" w:history="1">
        <w:r>
          <w:rPr>
            <w:rStyle w:val="a7"/>
            <w:rFonts w:ascii="Tahoma" w:hAnsi="Tahoma" w:cs="Tahoma"/>
            <w:color w:val="33A6E3"/>
            <w:sz w:val="18"/>
            <w:szCs w:val="18"/>
          </w:rPr>
          <w:t>законом</w:t>
        </w:r>
      </w:hyperlink>
      <w:r>
        <w:rPr>
          <w:rFonts w:ascii="Tahoma" w:hAnsi="Tahoma" w:cs="Tahoma"/>
          <w:color w:val="000000"/>
          <w:sz w:val="18"/>
          <w:szCs w:val="18"/>
        </w:rPr>
        <w:t> «О государственной регистрации недвижимости»;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муниципальных услуг -  не более  15 минут.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в том числе в электронной форме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принятия запроса специалистом, ответственным за прием и регистрацию документов, поступивших посредством Единого портала (ответственным за предоставление услуги),   статус запроса заявителя в личном кабинете заявителя на Едином портале обновляется до статуса «принято».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сопровождение инвалидов, имеющих стойкие расстройства функции зрения и самостоятельного передвижения, и оказание им помощи;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электронном виде;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комплексного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Показателями доступности предоставления муниципальной услуги в  электронной форме являются: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органом (организацией) запроса и иных документов, необходимых для предоставления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информации о ходе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осуществление оценки качества предоставления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Администрации, должностного лица Администрации или муниципального служащего.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Показатели качества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услуги в электронной форме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 Заявление в форме электронного документа представляется по выбору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2" w:history="1">
        <w:r>
          <w:rPr>
            <w:rStyle w:val="a7"/>
            <w:rFonts w:ascii="Tahoma" w:hAnsi="Tahoma" w:cs="Tahoma"/>
            <w:color w:val="33A6E3"/>
            <w:sz w:val="18"/>
            <w:szCs w:val="18"/>
          </w:rPr>
          <w:t>www.rpgu.rkursk.ru</w:t>
        </w:r>
      </w:hyperlink>
      <w:r>
        <w:rPr>
          <w:rFonts w:ascii="Tahoma" w:hAnsi="Tahoma" w:cs="Tahoma"/>
          <w:color w:val="000000"/>
          <w:sz w:val="18"/>
          <w:szCs w:val="18"/>
        </w:rPr>
        <w:t>);</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путем направления электронного документа в уполномоченный орган на официальную электронную почту.</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  В заявлении указывается один из следующих способов предоставления результатов рассмотрения заявления уполномоченным органом: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бумажного документа, который заявитель получает непосредственно при личном обращении;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бумажного документа, который направляется посредством почтового отправления;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электронного документа,  который направляется посредством электронной почты;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электронного документа, размещенного на официальном сайте, ссылка на который направляется посредством электронной почты.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электронной подписью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усиленной квалифицированной электронной подписью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действующего от имени юридического лица без доверенности;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w:t>
      </w:r>
      <w:r>
        <w:rPr>
          <w:rStyle w:val="ab"/>
          <w:rFonts w:ascii="Tahoma" w:hAnsi="Tahoma" w:cs="Tahoma"/>
          <w:color w:val="000000"/>
          <w:sz w:val="18"/>
          <w:szCs w:val="18"/>
        </w:rPr>
        <w:t> </w:t>
      </w:r>
      <w:r>
        <w:rPr>
          <w:rFonts w:ascii="Tahoma" w:hAnsi="Tahoma" w:cs="Tahoma"/>
          <w:color w:val="000000"/>
          <w:sz w:val="18"/>
          <w:szCs w:val="18"/>
        </w:rPr>
        <w:t>а также, если заявление подписано усиленной квалифицированной электронной подписью.</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«Муниципальные услуги» с возможностью их бесплатного копирования.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2.18.14. Заявление, представленное с нарушением изложенных в данном подразделе  требований,  Администрацией  не рассматривается.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и организации, участвующие в предоставлении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осуществления в электронной форме, в том числе с использованием Регионального портала, административных процедур (действий);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ответственный   исполнитель  Администрации: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Максимальный срок выполнения административной процедуры  -  1 рабочий день.</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Критерием принятия решения является обращение  заявителя за получением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Результатом административной процедуры является прием заявления.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3.1.7. Способом фиксации  результата выполнения административной процедуры является регистрация заявления в журнале регистрации заявлений.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входящей документации.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материалов, необходимых для предоставления муниципальной услуги и   принятие решения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проводит правовую экспертизу предоставленных документов на предмет: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полноты предоставленных сведений о земельном участке;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соответствия характеристик земельного участка в предоставленных документах;</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проверки сведений об обременении земельного участка правами третьих лиц;</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соответствия документов требованиям действующего законодательства.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решения  о предварительном согласовании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решения об отказе в предварительном согласовании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w:t>
      </w:r>
      <w:r>
        <w:rPr>
          <w:rFonts w:ascii="Tahoma" w:hAnsi="Tahoma" w:cs="Tahoma"/>
          <w:color w:val="000000"/>
          <w:sz w:val="18"/>
          <w:szCs w:val="18"/>
        </w:rPr>
        <w:lastRenderedPageBreak/>
        <w:t>предварительном согласовании предоставления земельного участка  и подписание Главой Большезмеинского сельсовета Щигровского района либо уполномоченным должностным лицом.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- 10 рабочих дней.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 регистрации постановлений.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Выдача (направление) заявителю  результата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об отказе в предварительном согласовании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Максимальный  срок выполнения  административной процедуры составляет не более 3 рабочих дней.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осуществления в электронной форме, в том числе с использованием Регионального портала, административных процедур (действий)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Pr>
          <w:rStyle w:val="ab"/>
          <w:rFonts w:ascii="Tahoma" w:hAnsi="Tahoma" w:cs="Tahoma"/>
          <w:color w:val="000000"/>
          <w:sz w:val="18"/>
          <w:szCs w:val="18"/>
        </w:rPr>
        <w:t>без проведения торгов: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информации о порядке и сроках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на прием для подачи запроса о предоставлении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формирование запроса о предоставлении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прием и регистрация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результата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сведений о ходе выполнения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осуществление оценки качества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3.5.3. Запись на прием проводится посредством Регионального портала.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3.5.6.Заявителю направляется уведомление о получении запроса с использованием Регионального портала.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3.5.7. При формировании запроса заявителю обеспечивается: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возможность копирования и сохранения запроса и документов, необходимых для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возможность печати на бумажном носителе копии электронной формы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возможность доступа заявителя на Региональном портале к ранее поданным запросам в течение не менее одного года.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запроса – 1 рабочий день.</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3.5.15. Заявитель имеет возможность получения информации о ходе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уведомление о записи на прием в Администрацию, содержащее сведения о дате, времени и месте приема;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4"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3.5.20.  Заявителям обеспечивается возможность оценить доступность и качество муниципальной  услуги на Региональном портале.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3.5.21. Критерием принятия решения является обращение заявителя за получением  муниципальной услуги в электронной форме.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3.5.22.  Результатом административной процедуры является подготовка ответа на запрос в форме одного из документов, указанных в подразделе  </w:t>
      </w:r>
      <w:hyperlink r:id="rId25"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 исходящей документации.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w:t>
      </w:r>
      <w:hyperlink r:id="rId27" w:history="1">
        <w:r>
          <w:rPr>
            <w:rStyle w:val="a7"/>
            <w:rFonts w:ascii="Tahoma" w:hAnsi="Tahoma" w:cs="Tahoma"/>
            <w:color w:val="33A6E3"/>
            <w:sz w:val="18"/>
            <w:szCs w:val="18"/>
          </w:rPr>
          <w:t>статье 15.1</w:t>
        </w:r>
      </w:hyperlink>
      <w:r>
        <w:rPr>
          <w:rFonts w:ascii="Tahoma" w:hAnsi="Tahoma" w:cs="Tahoma"/>
          <w:color w:val="000000"/>
          <w:sz w:val="18"/>
          <w:szCs w:val="18"/>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w:t>
      </w:r>
      <w:r>
        <w:rPr>
          <w:rFonts w:ascii="Tahoma" w:hAnsi="Tahoma" w:cs="Tahoma"/>
          <w:color w:val="000000"/>
          <w:sz w:val="18"/>
          <w:szCs w:val="18"/>
        </w:rPr>
        <w:lastRenderedPageBreak/>
        <w:t>в результате предоставления муниципальной услуги документах либо нарушение установленного срока таких исправлений.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w:t>
      </w:r>
      <w:r>
        <w:rPr>
          <w:rFonts w:ascii="Tahoma" w:hAnsi="Tahoma" w:cs="Tahoma"/>
          <w:color w:val="000000"/>
          <w:sz w:val="18"/>
          <w:szCs w:val="18"/>
        </w:rPr>
        <w:lastRenderedPageBreak/>
        <w:t>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 Большезмеинского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28"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государственных и муниципальных услуг</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Взаимодействие МФЦ с Администрацией осуществляется в соответствии соглашением о взаимодействии  между АУ КО «МФЦ» и Администрацией.</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реализации своих функций многофункциональные центры не вправе требовать от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При получении результата муниципальной услуги в МФЦ заявитель предъявляет:</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выдачи документов о получении экземпляра документа.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предоставления Администрацией </w:t>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r>
        <w:rPr>
          <w:rFonts w:ascii="Tahoma" w:hAnsi="Tahoma" w:cs="Tahoma"/>
          <w:color w:val="000000"/>
          <w:sz w:val="18"/>
          <w:szCs w:val="18"/>
        </w:rPr>
        <w:softHyphen/>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муниципальной услуги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«Предварительное согласование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земельного участка»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Главе Большезмеинского сельсовета Щигровского района Курской области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предварительном согласовании предоставления земельного участка, находящегося в муниципальной собственности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_____________________________ ИНН 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(полностью должность, ФИО представителя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 реквизиты документа, подтверждающего полномочия представителя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(контактные телефоны)                                            (при наличии адрес электронной почты)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предварительно согласовать предоставление земельного участка с кадастровым (условным) номером 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numPr>
          <w:ilvl w:val="0"/>
          <w:numId w:val="3"/>
        </w:numPr>
        <w:shd w:val="clear" w:color="auto" w:fill="EEEEEE"/>
        <w:ind w:left="0"/>
        <w:rPr>
          <w:rFonts w:ascii="Tahoma" w:hAnsi="Tahoma" w:cs="Tahoma"/>
          <w:color w:val="000000"/>
          <w:sz w:val="18"/>
          <w:szCs w:val="18"/>
        </w:rPr>
      </w:pPr>
      <w:r>
        <w:rPr>
          <w:rStyle w:val="ab"/>
          <w:rFonts w:ascii="Tahoma" w:hAnsi="Tahoma" w:cs="Tahoma"/>
          <w:color w:val="000000"/>
          <w:sz w:val="18"/>
          <w:szCs w:val="18"/>
        </w:rPr>
        <w:t>1.      </w:t>
      </w:r>
      <w:r>
        <w:rPr>
          <w:rFonts w:ascii="Tahoma" w:hAnsi="Tahoma" w:cs="Tahoma"/>
          <w:color w:val="000000"/>
          <w:sz w:val="18"/>
          <w:szCs w:val="18"/>
        </w:rPr>
        <w:t>Сведения о земельном участке: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Площадь земельного участка: _____________________ кв.м.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Цель использования земельного участка 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numPr>
          <w:ilvl w:val="0"/>
          <w:numId w:val="4"/>
        </w:numPr>
        <w:shd w:val="clear" w:color="auto" w:fill="EEEEEE"/>
        <w:ind w:left="0"/>
        <w:rPr>
          <w:rFonts w:ascii="Tahoma" w:hAnsi="Tahoma" w:cs="Tahoma"/>
          <w:color w:val="000000"/>
          <w:sz w:val="18"/>
          <w:szCs w:val="18"/>
        </w:rPr>
      </w:pPr>
      <w:r>
        <w:rPr>
          <w:rStyle w:val="ab"/>
          <w:rFonts w:ascii="Tahoma" w:hAnsi="Tahoma" w:cs="Tahoma"/>
          <w:color w:val="000000"/>
          <w:sz w:val="18"/>
          <w:szCs w:val="18"/>
        </w:rPr>
        <w:t>2.             </w:t>
      </w:r>
      <w:r>
        <w:rPr>
          <w:rFonts w:ascii="Tahoma" w:hAnsi="Tahoma" w:cs="Tahoma"/>
          <w:color w:val="000000"/>
          <w:sz w:val="18"/>
          <w:szCs w:val="18"/>
        </w:rPr>
        <w:t>Основание предоставления земельного участка без проведения торгов 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39.9, пунктом 2 статьи 39.10 Земельного кодекса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 </w:t>
      </w:r>
      <w:r>
        <w:rPr>
          <w:rFonts w:ascii="Tahoma" w:hAnsi="Tahoma" w:cs="Tahoma"/>
          <w:color w:val="000000"/>
          <w:sz w:val="18"/>
          <w:szCs w:val="18"/>
        </w:rPr>
        <w:t>Вид права, на котором приобретается земельный участок 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r>
        <w:rPr>
          <w:rFonts w:ascii="Tahoma" w:hAnsi="Tahoma" w:cs="Tahoma"/>
          <w:color w:val="000000"/>
          <w:sz w:val="18"/>
          <w:szCs w:val="18"/>
        </w:rPr>
        <w:t>. Реквизиты решения об утверждении проекта межевания территории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r>
        <w:rPr>
          <w:rFonts w:ascii="Tahoma" w:hAnsi="Tahoma" w:cs="Tahoma"/>
          <w:color w:val="000000"/>
          <w:sz w:val="18"/>
          <w:szCs w:val="18"/>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                                                                           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(подпись)</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Образец заявления (для физических лиц)</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Главе Большезмеинского сельсовета Щигровского района Курской области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предварительном согласовании предоставления земельного участка, находящегося в муниципальной собственности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 иного документа, удостоверяющего личность)</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ОГРНИП 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(когда и кем выдан)</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(полностью ФИО представителя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 реквизиты документа, подтверждающего полномочия представителя заявителя)</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(контактные телефоны)                                             (при наличии адрес электронной почты)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предварительно согласовать предоставление земельного участка с кадастровым (условным) номером 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numPr>
          <w:ilvl w:val="0"/>
          <w:numId w:val="5"/>
        </w:numPr>
        <w:shd w:val="clear" w:color="auto" w:fill="EEEEEE"/>
        <w:ind w:left="0"/>
        <w:rPr>
          <w:rFonts w:ascii="Tahoma" w:hAnsi="Tahoma" w:cs="Tahoma"/>
          <w:color w:val="000000"/>
          <w:sz w:val="18"/>
          <w:szCs w:val="18"/>
        </w:rPr>
      </w:pPr>
      <w:r>
        <w:rPr>
          <w:rStyle w:val="ab"/>
          <w:rFonts w:ascii="Tahoma" w:hAnsi="Tahoma" w:cs="Tahoma"/>
          <w:color w:val="000000"/>
          <w:sz w:val="18"/>
          <w:szCs w:val="18"/>
        </w:rPr>
        <w:t>1.      </w:t>
      </w:r>
      <w:r>
        <w:rPr>
          <w:rFonts w:ascii="Tahoma" w:hAnsi="Tahoma" w:cs="Tahoma"/>
          <w:color w:val="000000"/>
          <w:sz w:val="18"/>
          <w:szCs w:val="18"/>
        </w:rPr>
        <w:t>Сведения о земельном участке: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Площадь земельного участка: _____________________ кв.м.</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Цель использования земельного участка 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numPr>
          <w:ilvl w:val="0"/>
          <w:numId w:val="6"/>
        </w:numPr>
        <w:shd w:val="clear" w:color="auto" w:fill="EEEEEE"/>
        <w:ind w:left="0"/>
        <w:rPr>
          <w:rFonts w:ascii="Tahoma" w:hAnsi="Tahoma" w:cs="Tahoma"/>
          <w:color w:val="000000"/>
          <w:sz w:val="18"/>
          <w:szCs w:val="18"/>
        </w:rPr>
      </w:pPr>
      <w:r>
        <w:rPr>
          <w:rStyle w:val="ab"/>
          <w:rFonts w:ascii="Tahoma" w:hAnsi="Tahoma" w:cs="Tahoma"/>
          <w:color w:val="000000"/>
          <w:sz w:val="18"/>
          <w:szCs w:val="18"/>
        </w:rPr>
        <w:t>2.             </w:t>
      </w:r>
      <w:r>
        <w:rPr>
          <w:rFonts w:ascii="Tahoma" w:hAnsi="Tahoma" w:cs="Tahoma"/>
          <w:color w:val="000000"/>
          <w:sz w:val="18"/>
          <w:szCs w:val="18"/>
        </w:rPr>
        <w:t>Основание предоставления земельного участка без проведения торгов 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 </w:t>
      </w:r>
      <w:r>
        <w:rPr>
          <w:rFonts w:ascii="Tahoma" w:hAnsi="Tahoma" w:cs="Tahoma"/>
          <w:color w:val="000000"/>
          <w:sz w:val="18"/>
          <w:szCs w:val="18"/>
        </w:rPr>
        <w:t>Вид права, на котором приобретается земельный участок 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r>
        <w:rPr>
          <w:rFonts w:ascii="Tahoma" w:hAnsi="Tahoma" w:cs="Tahoma"/>
          <w:color w:val="000000"/>
          <w:sz w:val="18"/>
          <w:szCs w:val="18"/>
        </w:rPr>
        <w:t>. Реквизиты решения об утверждении проекта межевания территории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r>
        <w:rPr>
          <w:rFonts w:ascii="Tahoma" w:hAnsi="Tahoma" w:cs="Tahoma"/>
          <w:color w:val="000000"/>
          <w:sz w:val="18"/>
          <w:szCs w:val="18"/>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 что сведения, указанные в настоящем заявлении, на дату представления заявления достоверны.</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                                                                           _____________</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(подпись)</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83BDD" w:rsidRDefault="00783BDD" w:rsidP="00783BD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83BDD" w:rsidRDefault="00BB6700" w:rsidP="00783BDD"/>
    <w:sectPr w:rsidR="00BB6700" w:rsidRPr="00783BD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34562"/>
    <w:multiLevelType w:val="multilevel"/>
    <w:tmpl w:val="EDC2B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8131E5"/>
    <w:multiLevelType w:val="multilevel"/>
    <w:tmpl w:val="ADDE9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A52566"/>
    <w:multiLevelType w:val="multilevel"/>
    <w:tmpl w:val="E316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217DE9"/>
    <w:multiLevelType w:val="multilevel"/>
    <w:tmpl w:val="418A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C63A0F"/>
    <w:multiLevelType w:val="multilevel"/>
    <w:tmpl w:val="3F200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5F71AE"/>
    <w:multiLevelType w:val="multilevel"/>
    <w:tmpl w:val="001A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5"/>
  </w:num>
  <w:num w:numId="5">
    <w:abstractNumId w:val="4"/>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0952"/>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27A62"/>
    <w:rsid w:val="00430BA0"/>
    <w:rsid w:val="00433D6C"/>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129F8"/>
    <w:rsid w:val="00521E88"/>
    <w:rsid w:val="00531FBB"/>
    <w:rsid w:val="005430D5"/>
    <w:rsid w:val="0054548B"/>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37514"/>
    <w:rsid w:val="00D430EE"/>
    <w:rsid w:val="00D47189"/>
    <w:rsid w:val="00D53476"/>
    <w:rsid w:val="00D60674"/>
    <w:rsid w:val="00D613C1"/>
    <w:rsid w:val="00D64FCA"/>
    <w:rsid w:val="00D67D60"/>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ECA58C885FCCA35691DBFDAAD5123C658B635C1EFD2F2B3AB46CF6F8ADE06D76E6776B4554C5HCBBN" TargetMode="External"/><Relationship Id="rId18" Type="http://schemas.openxmlformats.org/officeDocument/2006/relationships/hyperlink" Target="consultantplus://offline/ref=ECA58C885FCCA35691DBFDAAD5123C658B635C1EFD2F2B3AB46CF6F8ADE06D76E6776B4C52HCBCN" TargetMode="External"/><Relationship Id="rId26"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consultantplus://offline/ref=ECA58C885FCCA35691DBFDAAD5123C658B625B1EF1202B3AB46CF6F8ADHEB0N"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ECA58C885FCCA35691DBFDAAD5123C658B635C1EFD2F2B3AB46CF6F8ADE06D76E6776B415CHCB9N" TargetMode="External"/><Relationship Id="rId17" Type="http://schemas.openxmlformats.org/officeDocument/2006/relationships/hyperlink" Target="consultantplus://offline/ref=ECA58C885FCCA35691DBFDAAD5123C658B635C1EFD2F2B3AB46CF6F8ADE06D76E6776B4256HCBCN" TargetMode="External"/><Relationship Id="rId25"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255HCBDN" TargetMode="External"/><Relationship Id="rId20" Type="http://schemas.openxmlformats.org/officeDocument/2006/relationships/hyperlink" Target="consultantplus://offline/ref=ECA58C885FCCA35691DBFDAAD5123C658B635C1EFD2F2B3AB46CF6F8ADE06D76E6776B415CHCB9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igorod.rkursk.ru/" TargetMode="External"/><Relationship Id="rId11" Type="http://schemas.openxmlformats.org/officeDocument/2006/relationships/hyperlink" Target="consultantplus://offline/ref=002F0D143B72741238DF0A9AB29F333604179A7B7C259B817B22F4E1A6F84C71AD51960824E7PEM" TargetMode="External"/><Relationship Id="rId24"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ECA58C885FCCA35691DBFDAAD5123C658B635C1EFD2F2B3AB46CF6F8ADE06D76E6776B4255HCBFN"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https://www.gosuslugi.ru/" TargetMode="External"/><Relationship Id="rId10" Type="http://schemas.openxmlformats.org/officeDocument/2006/relationships/hyperlink" Target="consultantplus://offline/ref=9CA807A86FDA95D4B5B6C5AE2F0E14F0CBDF75AC7D197F90AE28E1629C384331D92067CC6C7FECC50BR5J" TargetMode="External"/><Relationship Id="rId19" Type="http://schemas.openxmlformats.org/officeDocument/2006/relationships/hyperlink" Target="consultantplus://offline/ref=ECA58C885FCCA35691DBFDAAD5123C6588625A11F7222B3AB46CF6F8ADE06D76E6776B4554CCC3A8H4B0N"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45FD3976568C43ACDEBA7D8C445ABAE1E47460662F5E75278623A737442124CCD164C5C7201ABF94ZFQEG" TargetMode="External"/><Relationship Id="rId14" Type="http://schemas.openxmlformats.org/officeDocument/2006/relationships/hyperlink" Target="consultantplus://offline/ref=ECA58C885FCCA35691DBFDAAD5123C658B635C1EFD2F2B3AB46CF6F8ADE06D76E6776B4251HCBEN" TargetMode="External"/><Relationship Id="rId22" Type="http://schemas.openxmlformats.org/officeDocument/2006/relationships/hyperlink" Target="http://www.rpgu.rkursk.ru/" TargetMode="External"/><Relationship Id="rId27" Type="http://schemas.openxmlformats.org/officeDocument/2006/relationships/hyperlink" Target="consultantplus://offline/ref=0183729D51AA06F1505A8F10E9BC35F64E8BEBFC0BD8A1CC2F0A7158740840C8BF2BDC8F8974c5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13387</TotalTime>
  <Pages>26</Pages>
  <Words>17444</Words>
  <Characters>99434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403</cp:revision>
  <cp:lastPrinted>2019-03-04T06:14:00Z</cp:lastPrinted>
  <dcterms:created xsi:type="dcterms:W3CDTF">2019-02-20T10:58:00Z</dcterms:created>
  <dcterms:modified xsi:type="dcterms:W3CDTF">2025-04-15T12:33:00Z</dcterms:modified>
</cp:coreProperties>
</file>